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B83B2A"/>
          <w:sz w:val="19"/>
        </w:rPr>
        <w:t>MODIFIABLE REQUEST FOR PROPOSALS (RFP) TEMPLATE  |  VNA-RFP-014</w:t>
      </w:r>
    </w:p>
    <w:p>
      <w:pPr>
        <w:pStyle w:val="Heading1"/>
      </w:pPr>
      <w:r>
        <w:rPr>
          <w:color w:val="291C1A"/>
        </w:rPr>
        <w:t>Request for Proposals (RFP): IBM Maximo Lift-and-Shift to OCI &amp; Maximo Application Suite (MAS 9) Upgrade on OpenShift</w:t>
      </w:r>
    </w:p>
    <w:p>
      <w:r>
        <w:rPr>
          <w:sz w:val="20"/>
        </w:rPr>
        <w:t>Instructions for RFP Author: This editable Microsoft Word (.docx) document is structured so your IT, Architecture, and Procurement teams can issue a competitive, apples-to-apples Request for Proposals. Replace all bracketed placeholders ([...]) below with your organization's dates, contacts, and inventory counts.</w:t>
      </w:r>
    </w:p>
    <w:p>
      <w:pPr>
        <w:pStyle w:val="Heading2"/>
      </w:pPr>
      <w:r>
        <w:rPr>
          <w:color w:val="B83B2A"/>
        </w:rPr>
        <w:t>Section 1: Issuing Organization Profile &amp; Procurement Schedule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Procurement Milestone / Field</w:t>
            </w:r>
          </w:p>
        </w:tc>
        <w:tc>
          <w:tcPr>
            <w:tcW w:type="dxa" w:w="504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Target Date / Entry (Editable)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Issuing Organization Name</w:t>
            </w:r>
          </w:p>
        </w:tc>
        <w:tc>
          <w:tcPr>
            <w:tcW w:type="dxa" w:w="5040"/>
          </w:tcPr>
          <w:p>
            <w:r>
              <w:t>[Insert Legal Entity / Company Name]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Executive Sponsor &amp; Procurement Contact</w:t>
            </w:r>
          </w:p>
        </w:tc>
        <w:tc>
          <w:tcPr>
            <w:tcW w:type="dxa" w:w="5040"/>
          </w:tcPr>
          <w:p>
            <w:r>
              <w:t>[Insert Name, Title, Work Email &amp; Phone]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Reference Code</w:t>
            </w:r>
          </w:p>
        </w:tc>
        <w:tc>
          <w:tcPr>
            <w:tcW w:type="dxa" w:w="5040"/>
          </w:tcPr>
          <w:p>
            <w:r>
              <w:t>VNA-RFP-014 (Companion to Solution Brief VNA-SB-014)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RFP Issue Date</w:t>
            </w:r>
          </w:p>
        </w:tc>
        <w:tc>
          <w:tcPr>
            <w:tcW w:type="dxa" w:w="5040"/>
          </w:tcPr>
          <w:p>
            <w:r>
              <w:t>[2026-10-27]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Vendor Written Questions Due</w:t>
            </w:r>
          </w:p>
        </w:tc>
        <w:tc>
          <w:tcPr>
            <w:tcW w:type="dxa" w:w="5040"/>
          </w:tcPr>
          <w:p>
            <w:r>
              <w:t>[Insert Date - Week 2]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Organization Responses to Vendor Q&amp;A</w:t>
            </w:r>
          </w:p>
        </w:tc>
        <w:tc>
          <w:tcPr>
            <w:tcW w:type="dxa" w:w="5040"/>
          </w:tcPr>
          <w:p>
            <w:r>
              <w:t>[Insert Date - Week 3]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Final Vendor Proposals &amp; Fixed-Fee Pricing Due</w:t>
            </w:r>
          </w:p>
        </w:tc>
        <w:tc>
          <w:tcPr>
            <w:tcW w:type="dxa" w:w="5040"/>
          </w:tcPr>
          <w:p>
            <w:r>
              <w:t>[Insert Date - Week 4]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Technical Architecture Demos / Oral Presentations</w:t>
            </w:r>
          </w:p>
        </w:tc>
        <w:tc>
          <w:tcPr>
            <w:tcW w:type="dxa" w:w="5040"/>
          </w:tcPr>
          <w:p>
            <w:r>
              <w:t>[Insert Date - Week 5]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Target Contract Award &amp; Phase 0 Kickoff</w:t>
            </w:r>
          </w:p>
        </w:tc>
        <w:tc>
          <w:tcPr>
            <w:tcW w:type="dxa" w:w="5040"/>
          </w:tcPr>
          <w:p>
            <w:r>
              <w:t>[Insert Date - Week 6]</w:t>
            </w:r>
          </w:p>
        </w:tc>
      </w:tr>
    </w:tbl>
    <w:p>
      <w:r>
        <w:t>[INSERT COMPANY NAME] ('Organization') is soliciting competitive proposals from qualified enterprise architecture and engineering partners to modernize and transition our current On-Premises IBM Maximo 7.6.x (WebSphere ND VMs, Oracle / DB2 / SQL Server) &amp; High-Cost Legacy Hosting environment to Two-Lane OCI Architecture: Lane 1 (Maximo 7.6 Lift-and-Shift on OCI VMs + Oracle 19c/23ai) or Lane 2 (MAS 9 on Red Hat OpenShift + OCI + APEX Companion Portals).</w:t>
      </w:r>
    </w:p>
    <w:p>
      <w:pPr>
        <w:pStyle w:val="ListBullet"/>
      </w:pPr>
      <w:r>
        <w:t>Urgent Data Center Exit vs. Complex MAS 9 Re-Architecture: Many organizations need to get Maximo 7.6.1 off aging on-premises servers or expensive colocation contracts immediately without waiting 9+ months for a full MAS 9 business-process overhaul.</w:t>
      </w:r>
    </w:p>
    <w:p>
      <w:pPr>
        <w:pStyle w:val="ListBullet"/>
      </w:pPr>
      <w:r>
        <w:t>80% of Maximo Bottlenecks Live in the Database Tier: Slow Work Order searches, stuck PM generation crons, BIRT report timeouts, and ESRI/Spatial map lag almost always stem from untuned Oracle Database execution plans, fragmented `WORKORDER`/`MATUSETRANS` indexes, and under-provisioned storage IOPS.</w:t>
      </w:r>
    </w:p>
    <w:p>
      <w:pPr>
        <w:pStyle w:val="ListBullet"/>
      </w:pPr>
      <w:r>
        <w:t>MAS 9 OpenShift Complexity &amp; Punitive Cloud Costs: Upgrading to Maximo Application Suite (MAS 9) requires Red Hat OpenShift Container Platform (OCP), MongoDB, Kafka, and IBM SLS license servers - which cost 35% to 50% more to run on AWS or IBM Cloud than on OCI Flexible Compute and high-IOPS Block Volumes.</w:t>
      </w:r>
    </w:p>
    <w:p>
      <w:pPr>
        <w:pStyle w:val="Heading2"/>
      </w:pPr>
      <w:r>
        <w:rPr>
          <w:color w:val="B83B2A"/>
        </w:rPr>
        <w:t>Section 2: Current Environment Baseline Inventory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c>
          <w:tcPr>
            <w:tcW w:type="dxa" w:w="3360"/>
            <w:shd w:val="clear" w:color="auto" w:fill="B83B2A"/>
          </w:tcPr>
          <w:p>
            <w:r>
              <w:rPr>
                <w:b/>
                <w:color w:val="FFFFFF"/>
                <w:sz w:val="19"/>
              </w:rPr>
              <w:t>Inventory Dimension</w:t>
            </w:r>
          </w:p>
        </w:tc>
        <w:tc>
          <w:tcPr>
            <w:tcW w:type="dxa" w:w="3360"/>
            <w:shd w:val="clear" w:color="auto" w:fill="B83B2A"/>
          </w:tcPr>
          <w:p>
            <w:r>
              <w:rPr>
                <w:b/>
                <w:color w:val="FFFFFF"/>
                <w:sz w:val="19"/>
              </w:rPr>
              <w:t>Current Baseline Footprint (Editable)</w:t>
            </w:r>
          </w:p>
        </w:tc>
        <w:tc>
          <w:tcPr>
            <w:tcW w:type="dxa" w:w="3360"/>
            <w:shd w:val="clear" w:color="auto" w:fill="B83B2A"/>
          </w:tcPr>
          <w:p>
            <w:r>
              <w:rPr>
                <w:b/>
                <w:color w:val="FFFFFF"/>
                <w:sz w:val="19"/>
              </w:rPr>
              <w:t>Target Modernization SLA / Objective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Legacy Source Stack (Stack X)</w:t>
            </w:r>
          </w:p>
        </w:tc>
        <w:tc>
          <w:tcPr>
            <w:tcW w:type="dxa" w:w="3360"/>
          </w:tcPr>
          <w:p>
            <w:r>
              <w:t>On-Premises IBM Maximo 7.6.x (WebSphere ND VMs, Oracle / DB2 / SQL Server) &amp; High-Cost Legacy Hosting</w:t>
            </w:r>
          </w:p>
        </w:tc>
        <w:tc>
          <w:tcPr>
            <w:tcW w:type="dxa" w:w="3360"/>
          </w:tcPr>
          <w:p>
            <w:r>
              <w:t>Full retirement / modernization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Architecture (Stack Y)</w:t>
            </w:r>
          </w:p>
        </w:tc>
        <w:tc>
          <w:tcPr>
            <w:tcW w:type="dxa" w:w="3360"/>
          </w:tcPr>
          <w:p>
            <w:r>
              <w:t>Two-Lane OCI Architecture: Lane 1 (Maximo 7.6 Lift-and-Shift on OCI VMs + Oracle 19c/23ai) or Lane 2 (MAS 9 on Red Hat OpenShift + OCI + APEX Companion Portals)</w:t>
            </w:r>
          </w:p>
        </w:tc>
        <w:tc>
          <w:tcPr>
            <w:tcW w:type="dxa" w:w="3360"/>
          </w:tcPr>
          <w:p>
            <w:r>
              <w:t>Production HA/DR &amp; security governance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Total Maximo Users (Core + Casual/Vendor)</w:t>
            </w:r>
          </w:p>
        </w:tc>
        <w:tc>
          <w:tcPr>
            <w:tcW w:type="dxa" w:w="3360"/>
          </w:tcPr>
          <w:p>
            <w:r>
              <w:t>[Insert Count, e.g., 600 users]</w:t>
            </w:r>
          </w:p>
        </w:tc>
        <w:tc>
          <w:tcPr>
            <w:tcW w:type="dxa" w:w="3360"/>
          </w:tcPr>
          <w:p>
            <w:r>
              <w:t>100% functional parity &amp; optimization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Maximo Database Size &amp; BIRT / MIF Integrations</w:t>
            </w:r>
          </w:p>
        </w:tc>
        <w:tc>
          <w:tcPr>
            <w:tcW w:type="dxa" w:w="3360"/>
          </w:tcPr>
          <w:p>
            <w:r>
              <w:t>[Insert Count, e.g., 180 artifacts/GB]</w:t>
            </w:r>
          </w:p>
        </w:tc>
        <w:tc>
          <w:tcPr>
            <w:tcW w:type="dxa" w:w="3360"/>
          </w:tcPr>
          <w:p>
            <w:r>
              <w:t>Automated AST &amp; schema uplift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Target Cutover Downtime Window</w:t>
            </w:r>
          </w:p>
        </w:tc>
        <w:tc>
          <w:tcPr>
            <w:tcW w:type="dxa" w:w="3360"/>
          </w:tcPr>
          <w:p>
            <w:r>
              <w:t>[e.g., &lt; 15 Minutes / Near-Zero Downtime]</w:t>
            </w:r>
          </w:p>
        </w:tc>
        <w:tc>
          <w:tcPr>
            <w:tcW w:type="dxa" w:w="3360"/>
          </w:tcPr>
          <w:p>
            <w:r>
              <w:t>Rehearsed parallel run + rollback plan</w:t>
            </w:r>
          </w:p>
        </w:tc>
      </w:tr>
      <w:tr>
        <w:tc>
          <w:tcPr>
            <w:tcW w:type="dxa" w:w="3360"/>
          </w:tcPr>
          <w:p>
            <w:r>
              <w:rPr>
                <w:b/>
              </w:rPr>
              <w:t>Security, Compliance &amp; Identity</w:t>
            </w:r>
          </w:p>
        </w:tc>
        <w:tc>
          <w:tcPr>
            <w:tcW w:type="dxa" w:w="3360"/>
          </w:tcPr>
          <w:p>
            <w:r>
              <w:t>[e.g., SSO/MFA via Entra ID / Okta, Row-Level VPD]</w:t>
            </w:r>
          </w:p>
        </w:tc>
        <w:tc>
          <w:tcPr>
            <w:tcW w:type="dxa" w:w="3360"/>
          </w:tcPr>
          <w:p>
            <w:r>
              <w:t>Zero critical/high CVEs at Go-Live</w:t>
            </w:r>
          </w:p>
        </w:tc>
      </w:tr>
    </w:tbl>
    <w:p>
      <w:pPr>
        <w:pStyle w:val="Heading2"/>
      </w:pPr>
      <w:r>
        <w:rPr>
          <w:color w:val="B83B2A"/>
        </w:rPr>
        <w:t>Section 3: Mandatory Technical Scope of Work &amp; Conversion Matrix</w:t>
      </w:r>
    </w:p>
    <w:p>
      <w:pPr>
        <w:pStyle w:val="ListNumber"/>
      </w:pPr>
      <w:r>
        <w:rPr>
          <w:b/>
        </w:rPr>
        <w:t xml:space="preserve">[REQ-ARCH-01] </w:t>
      </w:r>
      <w:r>
        <w:t>Pathway 1 - Fast Maximo 7.6 Lift-and-Shift to OCI (6-10 Weeks): We lift your existing Maximo 7.6.1 WebSphere ND application servers, JMS integration queues, and BIRT reporting tiers onto OCI Flexible VMs (`E5.Flex`) while migrating the Maximo database to OCI Base Database / Exadata (19c/23ai) using RMAN Cross-Platform Transportable Tablespaces (XTTS) or GoldenGate with near-zero downtime.</w:t>
      </w:r>
    </w:p>
    <w:p>
      <w:pPr>
        <w:pStyle w:val="ListNumber"/>
      </w:pPr>
      <w:r>
        <w:rPr>
          <w:b/>
        </w:rPr>
        <w:t xml:space="preserve">[REQ-ARCH-02] </w:t>
      </w:r>
      <w:r>
        <w:t>Pathway 2 - Turnkey Upgrade to MAS 9 on Red Hat OpenShift on OCI: When ready for MAS 9, we provision multi-zone Red Hat OpenShift clusters on OCI, uplift legacy Java MBO customizations into upgrade-safe Python/Jython Automation Scripts, run the validated `updatedb` pipeline, and migrate Maximo Anywhere to MAS Mobile.</w:t>
      </w:r>
    </w:p>
    <w:p>
      <w:pPr>
        <w:pStyle w:val="ListNumber"/>
      </w:pPr>
      <w:r>
        <w:rPr>
          <w:b/>
        </w:rPr>
        <w:t xml:space="preserve">[REQ-ARCH-03] </w:t>
      </w:r>
      <w:r>
        <w:t>Oracle ACE Database Tuning &amp; Multi-Region Disaster Recovery: We tune the `MAXIMO` schema (SQL Plan Baselines, Text Indexes, table partitioning) and configure cross-region Oracle Active Data Guard (`RPO &lt; 5 min`, `RTO &lt; 60 min`) paired with Rackware/Velero application tier replication.</w:t>
      </w:r>
    </w:p>
    <w:p>
      <w:pPr>
        <w:pStyle w:val="ListNumber"/>
      </w:pPr>
      <w:r>
        <w:rPr>
          <w:b/>
        </w:rPr>
        <w:t xml:space="preserve">[REQ-ARCH-04] </w:t>
      </w:r>
      <w:r>
        <w:t>APEX 24.2 Companion Portals to Cut MAS AppPoint Licensing: Casual requestors, external contractors, and executive dashboard viewers access live Maximo data via an Oracle APEX 24.2 portal connected to Maximo OSLC REST APIs and Active Data Guard read replicas - saving hundreds of thousands in MAS AppPoints.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Req ID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Legacy Artifact / Baseline Workload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Required Target Architecture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Engineering Method &amp; Acceptance Gate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REQ-01</w:t>
            </w:r>
          </w:p>
        </w:tc>
        <w:tc>
          <w:tcPr>
            <w:tcW w:type="dxa" w:w="2520"/>
          </w:tcPr>
          <w:p>
            <w:r>
              <w:t>On-Premises Maximo 7.6.1 WebSphere ND &amp; Admin VMs</w:t>
            </w:r>
          </w:p>
        </w:tc>
        <w:tc>
          <w:tcPr>
            <w:tcW w:type="dxa" w:w="2520"/>
          </w:tcPr>
          <w:p>
            <w:r>
              <w:t>Pathway 1: OCI E5.Flex Lift-and-Shift VMs | Pathway 2: MAS 9 on Red Hat OpenShift (OCP)</w:t>
            </w:r>
          </w:p>
        </w:tc>
        <w:tc>
          <w:tcPr>
            <w:tcW w:type="dxa" w:w="2520"/>
          </w:tcPr>
          <w:p>
            <w:r>
              <w:t>Fast lift-and-shift first or direct Ansible/Operator MAS 9 deployment on OCI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REQ-02</w:t>
            </w:r>
          </w:p>
        </w:tc>
        <w:tc>
          <w:tcPr>
            <w:tcW w:type="dxa" w:w="2520"/>
          </w:tcPr>
          <w:p>
            <w:r>
              <w:t>On-Premises Maximo Database (Oracle / SQL Server / Db2)</w:t>
            </w:r>
          </w:p>
        </w:tc>
        <w:tc>
          <w:tcPr>
            <w:tcW w:type="dxa" w:w="2520"/>
          </w:tcPr>
          <w:p>
            <w:r>
              <w:t>OCI Oracle Base DB / Exadata 19c/23ai + Active Data Guard</w:t>
            </w:r>
          </w:p>
        </w:tc>
        <w:tc>
          <w:tcPr>
            <w:tcW w:type="dxa" w:w="2520"/>
          </w:tcPr>
          <w:p>
            <w:r>
              <w:t>Zero-downtime RMAN XTTS / GoldenGate cutover + MAXIMO schema index tuning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REQ-03</w:t>
            </w:r>
          </w:p>
        </w:tc>
        <w:tc>
          <w:tcPr>
            <w:tcW w:type="dxa" w:w="2520"/>
          </w:tcPr>
          <w:p>
            <w:r>
              <w:t>Legacy Java MBO Class Extensions &amp; Custom Workflows</w:t>
            </w:r>
          </w:p>
        </w:tc>
        <w:tc>
          <w:tcPr>
            <w:tcW w:type="dxa" w:w="2520"/>
          </w:tcPr>
          <w:p>
            <w:r>
              <w:t>MAS 9 Automation Scripts (Python/Jython) &amp; OSLC Integration Hooks</w:t>
            </w:r>
          </w:p>
        </w:tc>
        <w:tc>
          <w:tcPr>
            <w:tcW w:type="dxa" w:w="2520"/>
          </w:tcPr>
          <w:p>
            <w:r>
              <w:t>Preserve 100% in Lift-and-Shift; refactor to upgrade-safe scripts for MAS 9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REQ-04</w:t>
            </w:r>
          </w:p>
        </w:tc>
        <w:tc>
          <w:tcPr>
            <w:tcW w:type="dxa" w:w="2520"/>
          </w:tcPr>
          <w:p>
            <w:r>
              <w:t>High-Cost Casual User &amp; Vendor MAS AppPoints</w:t>
            </w:r>
          </w:p>
        </w:tc>
        <w:tc>
          <w:tcPr>
            <w:tcW w:type="dxa" w:w="2520"/>
          </w:tcPr>
          <w:p>
            <w:r>
              <w:t>Oracle APEX 24.2 Contractor &amp; Work-Request Companion Portal</w:t>
            </w:r>
          </w:p>
        </w:tc>
        <w:tc>
          <w:tcPr>
            <w:tcW w:type="dxa" w:w="2520"/>
          </w:tcPr>
          <w:p>
            <w:r>
              <w:t>Zero-per-seat APEX portal reading Active Data Guard &amp; posting via Maximo OSLC REST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REQ-05</w:t>
            </w:r>
          </w:p>
        </w:tc>
        <w:tc>
          <w:tcPr>
            <w:tcW w:type="dxa" w:w="2520"/>
          </w:tcPr>
          <w:p>
            <w:r>
              <w:t>Single-Site Maximo Storage &amp; Manual Backup Scripts</w:t>
            </w:r>
          </w:p>
        </w:tc>
        <w:tc>
          <w:tcPr>
            <w:tcW w:type="dxa" w:w="2520"/>
          </w:tcPr>
          <w:p>
            <w:r>
              <w:t>Multi-Region OCI Active Data Guard + Velero / Rackware DR</w:t>
            </w:r>
          </w:p>
        </w:tc>
        <w:tc>
          <w:tcPr>
            <w:tcW w:type="dxa" w:w="2520"/>
          </w:tcPr>
          <w:p>
            <w:r>
              <w:t>Automated cross-region failover (US-Ashburn &lt;-&gt; US-Phoenix / US-Chicago)</w:t>
            </w:r>
          </w:p>
        </w:tc>
      </w:tr>
    </w:tbl>
    <w:p>
      <w:pPr>
        <w:pStyle w:val="Heading2"/>
      </w:pPr>
      <w:r>
        <w:rPr>
          <w:color w:val="B83B2A"/>
        </w:rPr>
        <w:t>Section 4: Vendor Technical Q&amp;A Questionnaire &amp; Evaluation Rubric</w:t>
      </w:r>
    </w:p>
    <w:p>
      <w:r>
        <w:t>Bidders must provide direct written responses to each question below. Evaluation committee members can grade vendor responses (0 to 10 points) using the Reference Evaluation Benchmark provided under each question.</w:t>
      </w:r>
    </w:p>
    <w:p>
      <w:r>
        <w:rPr>
          <w:b/>
        </w:rPr>
        <w:t>Vendor Question 1: Is Red Hat OpenShift officially supported and certified to run IBM MAS 9 on Oracle Cloud Infrastructure (OCI)?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Yes. Red Hat OpenShift Container Platform (OCP) is fully certified and supported on OCI Compute shapes through the joint Red Hat and Oracle strategic partnership, allowing you to colocate MAS 9 OpenShift worker nodes on the same ultra-low-latency VCN subnet as your Oracle Database.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2: How can Oracle APEX reduce our IBM MAS AppPoint licensing costs?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External suppliers, invoice submitters, and occasional requestors do not need full MAS Manage seats. By routing vendor submissions and executive read-only dashboards through an Oracle APEX 24.2 portal connected to Maximo REST APIs and Active Data Guard read replicas, you cut AppPoint consumption substantially.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3: What is included in the downloadable PDF Solution Brief?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The PDF Solution Brief includes the MAS 9 on OCI + OpenShift Reference Architecture diagram, the Maximo 7.6 `updatedb` pre-flight database tuning checklist, and an OCI vs. AWS/IBM Cloud 5-year TCO model.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4: How do you prevent report and query fan-out bloat, and how do you guarantee 100% customer code ownership?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demonstrate AST SQL clustering (collapsing 75%-90% of cloned queries into core database views with runtime predicates) and confirm 100% customer ownership of all DDL, PL/SQL, APEX, and cloud source code with zero proprietary runtime lock-in.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r>
        <w:rPr>
          <w:b/>
        </w:rPr>
        <w:t>Vendor Question 5: Describe your automated regression testing, data parity verification, and zero-downtime cutover methodology.   [Evaluator Score: ___ / 10]</w:t>
      </w:r>
    </w:p>
    <w:p>
      <w:pPr>
        <w:pStyle w:val="ListBullet"/>
      </w:pPr>
      <w:r>
        <w:rPr>
          <w:b/>
        </w:rPr>
        <w:t xml:space="preserve">Reference Evaluation Benchmark: </w:t>
      </w:r>
      <w:r>
        <w:t>Vendor must provide automated row-count and cryptographic hash reconciliation, automated unit/UI test suites (utPLSQL, Playwright), and a rehearsed cutover runbook with sub-minute rollback capability.</w:t>
      </w:r>
    </w:p>
    <w:p>
      <w:pPr>
        <w:pStyle w:val="ListBullet"/>
      </w:pPr>
      <w:r>
        <w:rPr>
          <w:b/>
        </w:rPr>
        <w:t xml:space="preserve">Vendor Written Response: </w:t>
      </w:r>
      <w:r>
        <w:t>[Bidder to insert concrete technical architecture and verifiable production proof here]</w:t>
      </w:r>
    </w:p>
    <w:p>
      <w:pPr>
        <w:pStyle w:val="Heading2"/>
      </w:pPr>
      <w:r>
        <w:rPr>
          <w:color w:val="B83B2A"/>
        </w:rPr>
        <w:t>Section 5: Commercial Milestone Pricing &amp; Evaluation Scorecard (Editable)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Milestone / Phase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Deliverable &amp; Acceptance Gate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Fixed Fee (USD)</w:t>
            </w:r>
          </w:p>
        </w:tc>
        <w:tc>
          <w:tcPr>
            <w:tcW w:type="dxa" w:w="2520"/>
            <w:shd w:val="clear" w:color="auto" w:fill="2D1D1A"/>
          </w:tcPr>
          <w:p>
            <w:r>
              <w:rPr>
                <w:b/>
                <w:color w:val="FFFFFF"/>
                <w:sz w:val="19"/>
              </w:rPr>
              <w:t>Estimated Weeks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0: Discovery &amp; AST X-Ray</w:t>
            </w:r>
          </w:p>
        </w:tc>
        <w:tc>
          <w:tcPr>
            <w:tcW w:type="dxa" w:w="2520"/>
          </w:tcPr>
          <w:p>
            <w:r>
              <w:t>Verified inventory, dead-code manifest, core SQL fan-out map &amp; blueprint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1: Core Schema &amp; Logic Uplift</w:t>
            </w:r>
          </w:p>
        </w:tc>
        <w:tc>
          <w:tcPr>
            <w:tcW w:type="dxa" w:w="2520"/>
          </w:tcPr>
          <w:p>
            <w:r>
              <w:t>Provisioned target stack, schema migration &amp; automated logic conversion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[4 - 8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2: UI, Reports &amp; UAT</w:t>
            </w:r>
          </w:p>
        </w:tc>
        <w:tc>
          <w:tcPr>
            <w:tcW w:type="dxa" w:w="2520"/>
          </w:tcPr>
          <w:p>
            <w:r>
              <w:t>Modernized portals/screens, runtime reports, AOP templates &amp; UAT sign-off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[3 - 6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Phase 3: Cutover &amp; Hypercare</w:t>
            </w:r>
          </w:p>
        </w:tc>
        <w:tc>
          <w:tcPr>
            <w:tcW w:type="dxa" w:w="2520"/>
          </w:tcPr>
          <w:p>
            <w:r>
              <w:t>Rehearsed cutover, reconciliation sign-off &amp; 30-day production hypercare</w:t>
            </w:r>
          </w:p>
        </w:tc>
        <w:tc>
          <w:tcPr>
            <w:tcW w:type="dxa" w:w="2520"/>
          </w:tcPr>
          <w:p>
            <w:r>
              <w:t>$ [Insert]</w:t>
            </w:r>
          </w:p>
        </w:tc>
        <w:tc>
          <w:tcPr>
            <w:tcW w:type="dxa" w:w="2520"/>
          </w:tcPr>
          <w:p>
            <w:r>
              <w:t>[2 - 3 Weeks]</w:t>
            </w:r>
          </w:p>
        </w:tc>
      </w:tr>
      <w:tr>
        <w:tc>
          <w:tcPr>
            <w:tcW w:type="dxa" w:w="2520"/>
          </w:tcPr>
          <w:p>
            <w:r>
              <w:rPr>
                <w:b/>
              </w:rPr>
              <w:t>Optional: Annual Managed Support</w:t>
            </w:r>
          </w:p>
        </w:tc>
        <w:tc>
          <w:tcPr>
            <w:tcW w:type="dxa" w:w="2520"/>
          </w:tcPr>
          <w:p>
            <w:r>
              <w:t>24x7 monitoring, patching, DBA tuning &amp; quarterly enhancements</w:t>
            </w:r>
          </w:p>
        </w:tc>
        <w:tc>
          <w:tcPr>
            <w:tcW w:type="dxa" w:w="2520"/>
          </w:tcPr>
          <w:p>
            <w:r>
              <w:t>$ [Insert/yr]</w:t>
            </w:r>
          </w:p>
        </w:tc>
        <w:tc>
          <w:tcPr>
            <w:tcW w:type="dxa" w:w="2520"/>
          </w:tcPr>
          <w:p>
            <w:r>
              <w:t>[12 Months]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This site is designed by Viscosity.AI  |  Editable Microsoft Word (.docx) RFP Template (VNA-RFP-014)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MODIFIABLE RFP TEMPLATE &amp; VENDOR Q&amp;A  |  VNA-RFP-014  |  https://ibm-maximo-mas9-upgrade-oci.web.app/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